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560" w:lineRule="exact"/>
        <w:ind w:left="0" w:leftChars="0" w:firstLine="0" w:firstLineChars="0"/>
        <w:rPr>
          <w:rFonts w:hint="eastAsia" w:ascii="CESI楷体-GB2312" w:hAnsi="CESI楷体-GB2312" w:eastAsia="CESI楷体-GB2312" w:cs="CESI楷体-GB2312"/>
          <w:b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CESI楷体-GB2312" w:hAnsi="CESI楷体-GB2312" w:eastAsia="CESI楷体-GB2312" w:cs="CESI楷体-GB2312"/>
          <w:b/>
          <w:color w:val="auto"/>
          <w:sz w:val="32"/>
          <w:szCs w:val="32"/>
        </w:rPr>
        <w:t xml:space="preserve"> </w:t>
      </w:r>
    </w:p>
    <w:p/>
    <w:p>
      <w:pPr>
        <w:spacing w:line="540" w:lineRule="exact"/>
        <w:jc w:val="center"/>
        <w:rPr>
          <w:rFonts w:ascii="方正小标宋简体" w:hAnsi="黑体" w:eastAsia="方正小标宋简体"/>
          <w:color w:val="auto"/>
          <w:sz w:val="36"/>
          <w:szCs w:val="36"/>
        </w:rPr>
      </w:pPr>
      <w:r>
        <w:rPr>
          <w:rFonts w:hint="eastAsia" w:ascii="方正小标宋简体" w:hAnsi="黑体" w:eastAsia="方正小标宋简体"/>
          <w:color w:val="auto"/>
          <w:sz w:val="36"/>
          <w:szCs w:val="36"/>
        </w:rPr>
        <w:t>202</w:t>
      </w:r>
      <w:r>
        <w:rPr>
          <w:rFonts w:hint="eastAsia" w:ascii="方正小标宋简体" w:hAnsi="黑体" w:eastAsia="方正小标宋简体"/>
          <w:color w:val="auto"/>
          <w:sz w:val="36"/>
          <w:szCs w:val="36"/>
          <w:lang w:val="en-US" w:eastAsia="zh-CN"/>
        </w:rPr>
        <w:t>5</w:t>
      </w:r>
      <w:r>
        <w:rPr>
          <w:rFonts w:hint="eastAsia" w:ascii="方正小标宋简体" w:hAnsi="黑体" w:eastAsia="方正小标宋简体"/>
          <w:color w:val="auto"/>
          <w:sz w:val="36"/>
          <w:szCs w:val="36"/>
        </w:rPr>
        <w:t>年度黄冈市教育科学规划课题指南</w:t>
      </w:r>
    </w:p>
    <w:p>
      <w:pPr>
        <w:spacing w:line="276" w:lineRule="auto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spacing w:line="276" w:lineRule="auto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黄冈市教育科学规划年度课题指重点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课题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、一般课题。选题指南分为重点条目和基础条目两类。申报重点课题必须从重点条目中选择，自拟选题不予受理。如确有需要，可对选题进行适当微调，但不得大幅压缩或改变研究内容。每个选题原则上只确立1个立项项目。申报其他类别项目可以从基础方向里自拟选题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bCs/>
          <w:color w:val="auto"/>
          <w:sz w:val="32"/>
          <w:szCs w:val="32"/>
        </w:rPr>
      </w:pPr>
      <w:bookmarkStart w:id="0" w:name="_Hlk176183931"/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一、重点条目</w:t>
      </w:r>
    </w:p>
    <w:bookmarkEnd w:id="0"/>
    <w:p>
      <w:pPr>
        <w:spacing w:line="276" w:lineRule="auto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改革攻坚类。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研究国家教育方针政策、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基础教育质量评价与监测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变化，研究黄冈市人口变化与学校布局调整问题，服务市（县、区）教育局、学校决策。</w:t>
      </w:r>
    </w:p>
    <w:p>
      <w:pPr>
        <w:numPr>
          <w:ilvl w:val="0"/>
          <w:numId w:val="1"/>
        </w:numPr>
        <w:spacing w:line="560" w:lineRule="exact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大别山精神、抗洪精神、抗疫精神阐释与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教育传承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研究</w:t>
      </w:r>
    </w:p>
    <w:p>
      <w:pPr>
        <w:numPr>
          <w:ilvl w:val="0"/>
          <w:numId w:val="1"/>
        </w:numPr>
        <w:spacing w:line="560" w:lineRule="exact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教育强国建设背景下教育高质量发展研究</w:t>
      </w:r>
    </w:p>
    <w:p>
      <w:pPr>
        <w:numPr>
          <w:ilvl w:val="0"/>
          <w:numId w:val="1"/>
        </w:numPr>
        <w:spacing w:line="276" w:lineRule="auto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国家级基础教育综合改革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实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验区（校）实践研究</w:t>
      </w:r>
    </w:p>
    <w:p>
      <w:pPr>
        <w:numPr>
          <w:ilvl w:val="0"/>
          <w:numId w:val="1"/>
        </w:numPr>
        <w:spacing w:line="276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教育共同体视域下黄冈市教联体建设的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优化路径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研究</w:t>
      </w:r>
    </w:p>
    <w:p>
      <w:pPr>
        <w:numPr>
          <w:ilvl w:val="0"/>
          <w:numId w:val="1"/>
        </w:numPr>
        <w:spacing w:line="276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深化义务教育课程教学改革研究</w:t>
      </w:r>
    </w:p>
    <w:p>
      <w:pPr>
        <w:numPr>
          <w:ilvl w:val="0"/>
          <w:numId w:val="1"/>
        </w:numPr>
        <w:spacing w:line="276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普通高中特色发展与拔尖创新人才培养研究</w:t>
      </w:r>
    </w:p>
    <w:p>
      <w:pPr>
        <w:numPr>
          <w:ilvl w:val="0"/>
          <w:numId w:val="1"/>
        </w:numPr>
        <w:spacing w:line="276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基础教育质量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评价与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监测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的实践研究</w:t>
      </w:r>
    </w:p>
    <w:p>
      <w:pPr>
        <w:numPr>
          <w:ilvl w:val="0"/>
          <w:numId w:val="1"/>
        </w:numPr>
        <w:spacing w:line="276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市县结合的基础教育管理体制机制改革研究</w:t>
      </w:r>
    </w:p>
    <w:p>
      <w:pPr>
        <w:numPr>
          <w:ilvl w:val="0"/>
          <w:numId w:val="1"/>
        </w:numPr>
        <w:spacing w:line="276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学龄人口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变化背景下的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学位供给和学校布局调整研究</w:t>
      </w:r>
    </w:p>
    <w:p>
      <w:pPr>
        <w:numPr>
          <w:ilvl w:val="0"/>
          <w:numId w:val="1"/>
        </w:numPr>
        <w:spacing w:line="276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中小学家庭教育指导服务课程资源建设研究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学校</w:t>
      </w:r>
      <w:r>
        <w:rPr>
          <w:rFonts w:hint="eastAsia" w:ascii="黑体" w:hAnsi="黑体" w:eastAsia="黑体" w:cs="黑体"/>
          <w:bCs/>
          <w:color w:val="auto"/>
          <w:sz w:val="32"/>
          <w:szCs w:val="32"/>
          <w:lang w:eastAsia="zh-CN"/>
        </w:rPr>
        <w:t>（区域）</w:t>
      </w: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管理类。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针对学校管理中存在的突出问题，研究学校现代化治理，聚焦党组织领导下的校长负责制，研究德育委员会、教学委员会、学科委员会、年级委员会等机构建设及运行，促进融合型教联体和高中联校建设，促进我市中小学优质均衡内涵发展。</w:t>
      </w:r>
    </w:p>
    <w:p>
      <w:pPr>
        <w:numPr>
          <w:ilvl w:val="0"/>
          <w:numId w:val="0"/>
        </w:numPr>
        <w:spacing w:line="276" w:lineRule="auto"/>
        <w:ind w:left="640" w:leftChars="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1.教联体建设提质增效与区域教研创新体制机制研究</w:t>
      </w:r>
    </w:p>
    <w:p>
      <w:pPr>
        <w:numPr>
          <w:ilvl w:val="0"/>
          <w:numId w:val="0"/>
        </w:numPr>
        <w:spacing w:line="276" w:lineRule="auto"/>
        <w:ind w:left="640" w:leftChars="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2.教育强国背景下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县中振兴实践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研究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国家（省）义务教育教学改革实验区（校）实践研究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bCs/>
          <w:color w:val="auto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湖北省普通高中教学改革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实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验区实践研究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bCs/>
          <w:color w:val="auto"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国家科学教育改革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实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验区（校）实践研究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bCs/>
          <w:color w:val="auto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.美育浸润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行动下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中小学艺术教育实践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研究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bCs/>
          <w:color w:val="auto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.数字赋能学校内涵发展的实践研究</w:t>
      </w:r>
    </w:p>
    <w:p>
      <w:pPr>
        <w:spacing w:line="276" w:lineRule="auto"/>
        <w:ind w:firstLine="640" w:firstLineChars="200"/>
        <w:rPr>
          <w:rFonts w:hint="default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ascii="仿宋_GB2312" w:hAnsi="仿宋_GB2312" w:eastAsia="仿宋_GB2312" w:cs="仿宋_GB2312"/>
          <w:bCs/>
          <w:color w:val="auto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家校协同培养学生抗挫折能力的研究</w:t>
      </w:r>
    </w:p>
    <w:p>
      <w:pPr>
        <w:spacing w:line="276" w:lineRule="auto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8.基础教育质量监测及有效运用研究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ab/>
      </w:r>
    </w:p>
    <w:p>
      <w:pPr>
        <w:spacing w:line="276" w:lineRule="auto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9.县域普通高中特色发展路径和提升策略研究</w:t>
      </w:r>
    </w:p>
    <w:p>
      <w:pPr>
        <w:spacing w:line="276" w:lineRule="auto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.“五育”融合促进学生全面发展的评价研究</w:t>
      </w:r>
    </w:p>
    <w:p>
      <w:pPr>
        <w:spacing w:line="276" w:lineRule="auto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教师发展类。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针对我市教师年龄结构、学历结构问题，根据人口出生率的变化，提出教师队伍建设招聘中长期规划，研究新时代教师专业发展路径和对策；研究新教材、新课标、新中考（高考）的变化，提出科学备考方案，指导精准备考。</w:t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新时代高素质专业化教师队伍建设研究</w:t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教育家精神引领下的黄冈好教师成长路径研究</w:t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3.协同育人视域下优秀班主任培养路径研究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ab/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4.核心素养导向下黄冈市学科基地建设研究</w:t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5.教育教学中教师数字素养与技能提升研究</w:t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6.家庭学校社会协同育人管理机制与实施研究</w:t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7.黄冈名师助推新时代教师专业发展的研究</w:t>
      </w:r>
    </w:p>
    <w:p>
      <w:pPr>
        <w:spacing w:line="560" w:lineRule="exact"/>
        <w:ind w:firstLine="320" w:firstLineChars="100"/>
        <w:rPr>
          <w:rFonts w:hint="default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跨界（跨学科）教研范式的构建与实践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研究</w:t>
      </w:r>
    </w:p>
    <w:p>
      <w:pPr>
        <w:spacing w:line="276" w:lineRule="auto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课堂建设类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。聚焦核心素养，研究义务阶段起始年级新教材使用，研究各学科课程标准的在课堂教学中的落实路径，促进我市中小学“以生为本、素养导向”课堂建设。</w:t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.课堂教学模式创新与学习力提升研究</w:t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社会大课堂视域下思政教育与科普教育融合策略研究</w:t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中小学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体育与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健康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教学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现状与质量提升研究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ab/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“五育”融合下学校特色课程设计与实施研究</w:t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（学科）跨学科主题学习活动设计与实践研究</w:t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中小学科学教育改革与高质量STEM教育体系研究</w:t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.新课标导向下新教材的使用研究</w:t>
      </w:r>
    </w:p>
    <w:p>
      <w:pPr>
        <w:spacing w:line="560" w:lineRule="exact"/>
        <w:ind w:firstLine="320" w:firstLineChars="100"/>
        <w:rPr>
          <w:rFonts w:hint="default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基于学生全面发展的大课间活动实施对策研究</w:t>
      </w:r>
    </w:p>
    <w:p>
      <w:pPr>
        <w:spacing w:line="276" w:lineRule="auto"/>
        <w:ind w:firstLine="320" w:firstLineChars="1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.基础教育优质均衡发展路径研究</w:t>
      </w:r>
    </w:p>
    <w:p>
      <w:pPr>
        <w:spacing w:line="276" w:lineRule="auto"/>
        <w:ind w:firstLine="320" w:firstLineChars="100"/>
        <w:rPr>
          <w:rFonts w:ascii="黑体" w:hAnsi="黑体" w:eastAsia="黑体" w:cs="黑体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.产教融合视域下技能大赛与教学改革双向赋能机制研究</w:t>
      </w:r>
    </w:p>
    <w:p>
      <w:pPr>
        <w:spacing w:line="276" w:lineRule="auto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二、基础条目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（基础方向是近3年国家省政策要求的基本方向，综合考虑到各学段各学科）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bCs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.新时代“托幼一体化”教育模式研究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bCs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.幼小科学衔接的课程设计、实施及评价研究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3</w:t>
      </w:r>
      <w:r>
        <w:rPr>
          <w:rFonts w:ascii="仿宋_GB2312" w:hAnsi="仿宋_GB2312" w:eastAsia="仿宋_GB2312" w:cs="仿宋_GB2312"/>
          <w:bCs/>
          <w:color w:val="auto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小学各学科教材教法的研究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4</w:t>
      </w:r>
      <w:r>
        <w:rPr>
          <w:rFonts w:ascii="仿宋_GB2312" w:hAnsi="仿宋_GB2312" w:eastAsia="仿宋_GB2312" w:cs="仿宋_GB2312"/>
          <w:bCs/>
          <w:color w:val="auto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基于课程育人的小学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校本课程二次创生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研究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5</w:t>
      </w:r>
      <w:r>
        <w:rPr>
          <w:rFonts w:ascii="仿宋_GB2312" w:hAnsi="仿宋_GB2312" w:eastAsia="仿宋_GB2312" w:cs="仿宋_GB2312"/>
          <w:bCs/>
          <w:color w:val="auto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初中学段</w:t>
      </w:r>
      <w:r>
        <w:rPr>
          <w:rFonts w:ascii="仿宋_GB2312" w:hAnsi="仿宋_GB2312" w:eastAsia="仿宋_GB2312" w:cs="仿宋_GB2312"/>
          <w:bCs/>
          <w:color w:val="auto"/>
          <w:sz w:val="32"/>
          <w:szCs w:val="32"/>
        </w:rPr>
        <w:t>教学评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一体化的实践</w:t>
      </w:r>
      <w:r>
        <w:rPr>
          <w:rFonts w:ascii="仿宋_GB2312" w:hAnsi="仿宋_GB2312" w:eastAsia="仿宋_GB2312" w:cs="仿宋_GB2312"/>
          <w:bCs/>
          <w:color w:val="auto"/>
          <w:sz w:val="32"/>
          <w:szCs w:val="32"/>
        </w:rPr>
        <w:t>研究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6</w:t>
      </w:r>
      <w:r>
        <w:rPr>
          <w:rFonts w:ascii="仿宋_GB2312" w:hAnsi="仿宋_GB2312" w:eastAsia="仿宋_GB2312" w:cs="仿宋_GB2312"/>
          <w:bCs/>
          <w:color w:val="auto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高中生德育主题教育的组织、设计与实施研究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7</w:t>
      </w:r>
      <w:r>
        <w:rPr>
          <w:rFonts w:ascii="仿宋_GB2312" w:hAnsi="仿宋_GB2312" w:eastAsia="仿宋_GB2312" w:cs="仿宋_GB2312"/>
          <w:bCs/>
          <w:color w:val="auto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“生活</w:t>
      </w:r>
      <w:r>
        <w:rPr>
          <w:rFonts w:hint="eastAsia" w:ascii="仿宋_GB2312" w:hAnsi="仿宋_GB2312" w:cs="仿宋_GB2312"/>
          <w:bCs/>
          <w:color w:val="auto"/>
          <w:sz w:val="32"/>
          <w:szCs w:val="32"/>
        </w:rPr>
        <w:t>·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实践”理念下学科实践活动的实施研究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黄冈优秀地方文化在教育教学中的传承与发展研究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9.高职学校实训基地的共建共享模式研究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.促进职业教育高质量充分就业研究</w:t>
      </w:r>
    </w:p>
    <w:p>
      <w:pPr>
        <w:spacing w:line="276" w:lineRule="auto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spacing w:line="540" w:lineRule="exact"/>
        <w:rPr>
          <w:rFonts w:hint="eastAsia" w:ascii="黑体" w:hAnsi="黑体" w:eastAsia="黑体" w:cs="黑体"/>
          <w:color w:val="auto"/>
          <w:sz w:val="32"/>
          <w:szCs w:val="32"/>
        </w:rPr>
      </w:pPr>
    </w:p>
    <w:p>
      <w:pPr>
        <w:spacing w:line="540" w:lineRule="exact"/>
        <w:rPr>
          <w:rFonts w:hint="eastAsia" w:ascii="黑体" w:hAnsi="黑体" w:eastAsia="黑体" w:cs="黑体"/>
          <w:color w:val="auto"/>
          <w:sz w:val="32"/>
          <w:szCs w:val="32"/>
        </w:rPr>
      </w:pPr>
    </w:p>
    <w:p>
      <w:pPr>
        <w:spacing w:line="540" w:lineRule="exact"/>
        <w:rPr>
          <w:rFonts w:hint="eastAsia" w:ascii="黑体" w:hAnsi="黑体" w:eastAsia="黑体" w:cs="黑体"/>
          <w:color w:val="auto"/>
          <w:sz w:val="32"/>
          <w:szCs w:val="32"/>
        </w:rPr>
      </w:pPr>
    </w:p>
    <w:p>
      <w:pPr>
        <w:spacing w:line="540" w:lineRule="exact"/>
        <w:rPr>
          <w:rFonts w:hint="eastAsia" w:ascii="黑体" w:hAnsi="黑体" w:eastAsia="黑体" w:cs="黑体"/>
          <w:color w:val="auto"/>
          <w:sz w:val="32"/>
          <w:szCs w:val="32"/>
        </w:rPr>
      </w:pPr>
    </w:p>
    <w:p>
      <w:pPr>
        <w:spacing w:line="540" w:lineRule="exact"/>
        <w:rPr>
          <w:rFonts w:hint="eastAsia" w:ascii="黑体" w:hAnsi="黑体" w:eastAsia="黑体" w:cs="黑体"/>
          <w:color w:val="auto"/>
          <w:sz w:val="32"/>
          <w:szCs w:val="32"/>
        </w:rPr>
      </w:pPr>
    </w:p>
    <w:p>
      <w:pPr>
        <w:spacing w:line="540" w:lineRule="exact"/>
        <w:rPr>
          <w:rFonts w:hint="eastAsia" w:ascii="黑体" w:hAnsi="黑体" w:eastAsia="黑体" w:cs="黑体"/>
          <w:color w:val="auto"/>
          <w:sz w:val="32"/>
          <w:szCs w:val="32"/>
        </w:rPr>
      </w:pPr>
    </w:p>
    <w:p>
      <w:pPr>
        <w:spacing w:line="540" w:lineRule="exact"/>
        <w:rPr>
          <w:rFonts w:hint="eastAsia" w:ascii="黑体" w:hAnsi="黑体" w:eastAsia="黑体" w:cs="黑体"/>
          <w:color w:val="auto"/>
          <w:sz w:val="32"/>
          <w:szCs w:val="32"/>
        </w:rPr>
      </w:pPr>
    </w:p>
    <w:p>
      <w:pPr>
        <w:spacing w:line="540" w:lineRule="exact"/>
        <w:rPr>
          <w:rFonts w:hint="eastAsia" w:ascii="黑体" w:hAnsi="黑体" w:eastAsia="黑体" w:cs="黑体"/>
          <w:color w:val="auto"/>
          <w:sz w:val="32"/>
          <w:szCs w:val="32"/>
        </w:rPr>
      </w:pPr>
    </w:p>
    <w:p>
      <w:pPr>
        <w:spacing w:line="540" w:lineRule="exact"/>
        <w:rPr>
          <w:rFonts w:hint="eastAsia" w:ascii="黑体" w:hAnsi="黑体" w:eastAsia="黑体" w:cs="黑体"/>
          <w:color w:val="auto"/>
          <w:sz w:val="32"/>
          <w:szCs w:val="32"/>
        </w:rPr>
      </w:pPr>
    </w:p>
    <w:p>
      <w:pPr>
        <w:spacing w:line="540" w:lineRule="exact"/>
        <w:rPr>
          <w:rFonts w:hint="eastAsia" w:ascii="黑体" w:hAnsi="黑体" w:eastAsia="黑体" w:cs="黑体"/>
          <w:color w:val="auto"/>
          <w:sz w:val="32"/>
          <w:szCs w:val="32"/>
        </w:rPr>
      </w:pPr>
    </w:p>
    <w:p>
      <w:pPr>
        <w:spacing w:line="540" w:lineRule="exact"/>
        <w:rPr>
          <w:rFonts w:hint="eastAsia" w:ascii="黑体" w:hAnsi="黑体" w:eastAsia="黑体" w:cs="黑体"/>
          <w:color w:val="auto"/>
          <w:sz w:val="32"/>
          <w:szCs w:val="32"/>
        </w:rPr>
      </w:pPr>
    </w:p>
    <w:p>
      <w:pPr>
        <w:spacing w:line="540" w:lineRule="exact"/>
        <w:rPr>
          <w:rFonts w:hint="eastAsia" w:ascii="黑体" w:hAnsi="黑体" w:eastAsia="黑体" w:cs="黑体"/>
          <w:color w:val="auto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90101010101"/>
    <w:charset w:val="86"/>
    <w:family w:val="auto"/>
    <w:pitch w:val="default"/>
    <w:sig w:usb0="800002BF" w:usb1="38CF7CFA" w:usb2="00000016" w:usb3="00000000" w:csb0="6016019D" w:csb1="D3F7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ESI楷体-GB2312">
    <w:altName w:val="楷体_GB2312"/>
    <w:panose1 w:val="02000500000000000000"/>
    <w:charset w:val="00"/>
    <w:family w:val="auto"/>
    <w:pitch w:val="default"/>
    <w:sig w:usb0="00000000" w:usb1="00000000" w:usb2="00000012" w:usb3="00000000" w:csb0="0004000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3D1713"/>
    <w:multiLevelType w:val="multilevel"/>
    <w:tmpl w:val="0D3D1713"/>
    <w:lvl w:ilvl="0" w:tentative="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FFFB45C"/>
    <w:rsid w:val="DFD91638"/>
    <w:rsid w:val="EFFFB45C"/>
    <w:rsid w:val="FC3E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next w:val="1"/>
    <w:qFormat/>
    <w:uiPriority w:val="0"/>
    <w:pPr>
      <w:suppressAutoHyphens/>
      <w:spacing w:after="0"/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2025-12-18T00:41:00Z</dcterms:created>
  <dc:creator>santer</dc:creator>
  <cp:lastModifiedBy>santer</cp:lastModifiedBy>
  <dcterms:modified xsi:type="dcterms:W3CDTF">2025-12-22T15:11:29Z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EB79FFCBE883C4AF9D6C4269FEE634DF</vt:lpwstr>
  </property>
</Properties>
</file>